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B96DBB" w:rsidTr="000949FD">
        <w:trPr>
          <w:trHeight w:hRule="exact" w:val="1710"/>
        </w:trPr>
        <w:tc>
          <w:tcPr>
            <w:tcW w:w="10314" w:type="dxa"/>
          </w:tcPr>
          <w:p w:rsidR="001B3657" w:rsidRDefault="0025798D">
            <w:pPr>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t>T.C.</w:t>
            </w:r>
            <w:r>
              <w:rPr>
                <w:rFonts w:ascii="Times New Roman" w:hAnsi="Times New Roman" w:cs="Times New Roman"/>
                <w:sz w:val="24"/>
                <w:szCs w:val="24"/>
              </w:rPr>
              <w:br/>
              <w:t>MUŞ İL ÖZEL İDARESİ</w:t>
            </w:r>
            <w:r>
              <w:rPr>
                <w:rFonts w:ascii="Times New Roman" w:hAnsi="Times New Roman" w:cs="Times New Roman"/>
                <w:sz w:val="24"/>
                <w:szCs w:val="24"/>
              </w:rPr>
              <w:br/>
              <w:t>İmar ve Kentsel İyileştirme Müdürlüğü</w:t>
            </w:r>
          </w:p>
        </w:tc>
      </w:tr>
    </w:tbl>
    <w:p w:rsidR="001B3657" w:rsidRDefault="0025798D">
      <w:pPr>
        <w:spacing w:line="0" w:lineRule="auto"/>
      </w:pPr>
      <w:r>
        <w:rPr>
          <w:noProof/>
        </w:rPr>
        <w:drawing>
          <wp:anchor distT="0" distB="0" distL="114300" distR="114300" simplePos="0" relativeHeight="251658240" behindDoc="1" locked="0" layoutInCell="1" allowOverlap="1">
            <wp:simplePos x="0" y="0"/>
            <wp:positionH relativeFrom="leftMargin">
              <wp:posOffset>540000</wp:posOffset>
            </wp:positionH>
            <wp:positionV relativeFrom="page">
              <wp:posOffset>180000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simplePos x="0" y="0"/>
            <wp:positionH relativeFrom="leftMargin">
              <wp:posOffset>6111625</wp:posOffset>
            </wp:positionH>
            <wp:positionV relativeFrom="page">
              <wp:posOffset>180000</wp:posOffset>
            </wp:positionV>
            <wp:extent cx="904875" cy="904875"/>
            <wp:effectExtent l="0" t="0" r="0" b="0"/>
            <wp:wrapNone/>
            <wp:docPr id="1"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0" w:type="auto"/>
        <w:tblBorders>
          <w:top w:val="none" w:sz="10" w:space="0" w:color="auto"/>
          <w:left w:val="none" w:sz="10" w:space="0" w:color="auto"/>
          <w:bottom w:val="none" w:sz="10" w:space="0" w:color="auto"/>
          <w:right w:val="none" w:sz="10" w:space="0" w:color="auto"/>
          <w:insideH w:val="none" w:sz="10" w:space="0" w:color="auto"/>
          <w:insideV w:val="none" w:sz="10" w:space="0" w:color="auto"/>
        </w:tblBorders>
        <w:tblLayout w:type="fixed"/>
        <w:tblCellMar>
          <w:left w:w="0" w:type="dxa"/>
          <w:right w:w="0" w:type="dxa"/>
        </w:tblCellMar>
        <w:tblLook w:val="04A0" w:firstRow="1" w:lastRow="0" w:firstColumn="1" w:lastColumn="0" w:noHBand="0" w:noVBand="1"/>
      </w:tblPr>
      <w:tblGrid>
        <w:gridCol w:w="714"/>
        <w:gridCol w:w="4394"/>
        <w:gridCol w:w="2220"/>
        <w:gridCol w:w="2955"/>
      </w:tblGrid>
      <w:tr w:rsidR="001C6654" w:rsidTr="00F426E6">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Sayı   :</w:t>
            </w:r>
          </w:p>
        </w:tc>
        <w:tc>
          <w:tcPr>
            <w:tcW w:w="439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E-40943266-115.02.11.99-23411</w:t>
            </w:r>
          </w:p>
        </w:tc>
        <w:tc>
          <w:tcPr>
            <w:tcW w:w="2220" w:type="dxa"/>
          </w:tcPr>
          <w:p w:rsidR="001C6654" w:rsidRDefault="001C6654" w:rsidP="001C6F35"/>
        </w:tc>
        <w:tc>
          <w:tcPr>
            <w:tcW w:w="2955" w:type="dxa"/>
          </w:tcPr>
          <w:p w:rsidR="001C6654" w:rsidRDefault="001C6654" w:rsidP="001C6F35">
            <w:pPr>
              <w:jc w:val="right"/>
              <w:rPr>
                <w:rFonts w:ascii="Times New Roman" w:hAnsi="Times New Roman" w:cs="Times New Roman"/>
                <w:sz w:val="24"/>
                <w:szCs w:val="24"/>
              </w:rPr>
            </w:pPr>
            <w:r>
              <w:rPr>
                <w:rFonts w:ascii="Times New Roman" w:hAnsi="Times New Roman" w:cs="Times New Roman"/>
                <w:sz w:val="24"/>
                <w:szCs w:val="24"/>
              </w:rPr>
              <w:t>14.03.2025</w:t>
            </w:r>
          </w:p>
        </w:tc>
      </w:tr>
      <w:tr w:rsidR="001C6654" w:rsidTr="00F426E6">
        <w:trPr>
          <w:gridAfter w:val="2"/>
          <w:wAfter w:w="720" w:type="dxa"/>
        </w:trPr>
        <w:tc>
          <w:tcPr>
            <w:tcW w:w="714" w:type="dxa"/>
          </w:tcPr>
          <w:p w:rsidR="001C6654" w:rsidRDefault="001C6654" w:rsidP="001C6F35">
            <w:pPr>
              <w:rPr>
                <w:rFonts w:ascii="Times New Roman" w:hAnsi="Times New Roman" w:cs="Times New Roman"/>
                <w:sz w:val="24"/>
                <w:szCs w:val="24"/>
              </w:rPr>
            </w:pPr>
            <w:r>
              <w:rPr>
                <w:rFonts w:ascii="Times New Roman" w:hAnsi="Times New Roman" w:cs="Times New Roman"/>
                <w:sz w:val="24"/>
                <w:szCs w:val="24"/>
              </w:rPr>
              <w:t>Konu :</w:t>
            </w:r>
          </w:p>
        </w:tc>
        <w:tc>
          <w:tcPr>
            <w:tcW w:w="4394" w:type="dxa"/>
          </w:tcPr>
          <w:p w:rsidR="001B3657" w:rsidRDefault="0025798D">
            <w:pPr>
              <w:rPr>
                <w:rFonts w:ascii="Times New Roman" w:hAnsi="Times New Roman" w:cs="Times New Roman"/>
                <w:sz w:val="24"/>
                <w:szCs w:val="24"/>
              </w:rPr>
            </w:pPr>
            <w:r>
              <w:rPr>
                <w:rFonts w:ascii="Times New Roman" w:hAnsi="Times New Roman" w:cs="Times New Roman"/>
                <w:sz w:val="24"/>
                <w:szCs w:val="24"/>
              </w:rPr>
              <w:t>Kaçak Yapılar Hk.</w:t>
            </w:r>
          </w:p>
        </w:tc>
      </w:tr>
    </w:tbl>
    <w:p w:rsidR="00B96DBB" w:rsidRDefault="00B96DBB" w:rsidP="001C6F35">
      <w:pPr>
        <w:spacing w:after="0"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0949FD" w:rsidTr="000949FD">
        <w:tc>
          <w:tcPr>
            <w:tcW w:w="10314" w:type="dxa"/>
          </w:tcPr>
          <w:p w:rsidR="001B3657" w:rsidRDefault="0025798D">
            <w:pPr>
              <w:jc w:val="center"/>
              <w:rPr>
                <w:rFonts w:ascii="Times New Roman" w:hAnsi="Times New Roman" w:cs="Times New Roman"/>
                <w:sz w:val="24"/>
                <w:szCs w:val="24"/>
              </w:rPr>
            </w:pPr>
            <w:r>
              <w:rPr>
                <w:rFonts w:ascii="Times New Roman" w:hAnsi="Times New Roman" w:cs="Times New Roman"/>
                <w:sz w:val="24"/>
                <w:szCs w:val="24"/>
              </w:rPr>
              <w:t>Sayın KÖY MUHTARLIKLARINA</w:t>
            </w:r>
          </w:p>
        </w:tc>
      </w:tr>
    </w:tbl>
    <w:p w:rsidR="000949FD" w:rsidRDefault="000949FD" w:rsidP="001C6F35">
      <w:pPr>
        <w:spacing w:after="0" w:line="240" w:lineRule="auto"/>
        <w:jc w:val="center"/>
        <w:rPr>
          <w:rFonts w:ascii="Times New Roman" w:hAnsi="Times New Roman" w:cs="Times New Roman"/>
          <w:sz w:val="24"/>
          <w:szCs w:val="24"/>
        </w:rPr>
      </w:pPr>
      <w:bookmarkStart w:id="0" w:name="_GoBack"/>
      <w:bookmarkEnd w:id="0"/>
    </w:p>
    <w:p w:rsidR="001B3657" w:rsidRDefault="002579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3194 Sayılı İmar Kanunu’nun 27. maddesi doğrultusunda Belediye ve mücavir alanlar dışında köylerin köy yerleşik alanlarında, civarında ve mezralarda yapılacak konut, entegre tesis niteliğinde olmayan ve imar planı gerektirmeyen tarım ve hayvancılık</w:t>
      </w:r>
      <w:r>
        <w:rPr>
          <w:rFonts w:ascii="Times New Roman" w:hAnsi="Times New Roman" w:cs="Times New Roman"/>
          <w:sz w:val="24"/>
          <w:szCs w:val="24"/>
        </w:rPr>
        <w:t xml:space="preserve">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w:t>
      </w:r>
      <w:r>
        <w:rPr>
          <w:rFonts w:ascii="Times New Roman" w:hAnsi="Times New Roman" w:cs="Times New Roman"/>
          <w:sz w:val="24"/>
          <w:szCs w:val="24"/>
        </w:rPr>
        <w:t xml:space="preserve">hsatı aranmaz. </w:t>
      </w:r>
      <w:r>
        <w:rPr>
          <w:rFonts w:ascii="Times New Roman" w:hAnsi="Times New Roman" w:cs="Times New Roman"/>
          <w:b/>
          <w:sz w:val="24"/>
          <w:szCs w:val="24"/>
        </w:rPr>
        <w:t xml:space="preserve">Ancak etüt ve projelerinin valilik onayına müteakip muhtarlığa bildirimi ve bu yapıların yöresel doku ve mimari özelliklere, fen, sanat ve sağlık kurallarına uygun olması zorunludur. </w:t>
      </w:r>
      <w:r>
        <w:rPr>
          <w:rFonts w:ascii="Times New Roman" w:hAnsi="Times New Roman" w:cs="Times New Roman"/>
          <w:sz w:val="24"/>
          <w:szCs w:val="24"/>
        </w:rPr>
        <w:t>Ayrıca Plansız Alanlar İmar Yönetmenliğinin 57. maddesinde</w:t>
      </w:r>
      <w:r>
        <w:rPr>
          <w:rFonts w:ascii="Times New Roman" w:hAnsi="Times New Roman" w:cs="Times New Roman"/>
          <w:sz w:val="24"/>
          <w:szCs w:val="24"/>
        </w:rPr>
        <w:t xml:space="preserve"> ‘‘Köy ve mezraların yerleşik alanlarında ve civarında sadece köy nüfusuna kayıtlı ve köyde sürekli oturanlarca yapılacak konut, tarım ve hayvancılık amaçlı yapılar ile müştemilat binaları yapı ruhsatı ve yapı kullanma iznine tabi değildir. Ancak, yapı pro</w:t>
      </w:r>
      <w:r>
        <w:rPr>
          <w:rFonts w:ascii="Times New Roman" w:hAnsi="Times New Roman" w:cs="Times New Roman"/>
          <w:sz w:val="24"/>
          <w:szCs w:val="24"/>
        </w:rPr>
        <w:t>jelerinin fen ve sağlık kurallarına uygun olduğuna dair ilgili idare onayı alınmasından sonra, muhtarlığa bildirimde bulunulmak suretiyle yapılması şarttır. (....)’’ denilmektedir.  57. maddede sayılanlar dışında kalan yapılar ile köy nüfusuna kayıtlı olma</w:t>
      </w:r>
      <w:r>
        <w:rPr>
          <w:rFonts w:ascii="Times New Roman" w:hAnsi="Times New Roman" w:cs="Times New Roman"/>
          <w:sz w:val="24"/>
          <w:szCs w:val="24"/>
        </w:rPr>
        <w:t>yan, köyde sürekli oturmayanlar ve köy nüfusuna kayıtlı olmakla birlikte köyde sürekli oturmayanlar tarafından yapılacak tüm yapılar, yapı ruhsatı ve yapı kullanma iznine tabidir. Yapı ruhsatı ve yapı kullanma izni valiliklerce düzenlenir. (Plansız Alanlar</w:t>
      </w:r>
      <w:r>
        <w:rPr>
          <w:rFonts w:ascii="Times New Roman" w:hAnsi="Times New Roman" w:cs="Times New Roman"/>
          <w:sz w:val="24"/>
          <w:szCs w:val="24"/>
        </w:rPr>
        <w:t xml:space="preserve"> İmar Yönetmenliği Madde 58)</w:t>
      </w:r>
      <w:r>
        <w:rPr>
          <w:rFonts w:ascii="Times New Roman" w:hAnsi="Times New Roman" w:cs="Times New Roman"/>
          <w:sz w:val="24"/>
          <w:szCs w:val="24"/>
        </w:rPr>
        <w:br/>
        <w:t>        Yukarıda açıklanan mevzuat hükümleri gereğince İl Özel İdaresi Genel Sekreterliğinden yapı izni veya yapı ruhsatı alınmadan köyünüzde yapı inşa edilmesine izin verilmemesi gerekmektedir. Ruhsat alınmadan yapıya başlandı</w:t>
      </w:r>
      <w:r>
        <w:rPr>
          <w:rFonts w:ascii="Times New Roman" w:hAnsi="Times New Roman" w:cs="Times New Roman"/>
          <w:sz w:val="24"/>
          <w:szCs w:val="24"/>
        </w:rPr>
        <w:t>ğı veya ruhsat eklerine aykırı yapılar hakkında 3194 sayılı İmar Kanunu’nun 32. maddesi gereğince yapı tatil zaptı düzenlenecek ve 3194 sayılı İmar Kanunu’nun 42. maddesi göre cezai işlem uygulanacaktır. Ayrıca köyünde yapılan kaçak yapıları bildirmeyen kö</w:t>
      </w:r>
      <w:r>
        <w:rPr>
          <w:rFonts w:ascii="Times New Roman" w:hAnsi="Times New Roman" w:cs="Times New Roman"/>
          <w:sz w:val="24"/>
          <w:szCs w:val="24"/>
        </w:rPr>
        <w:t>y muhtarları hakkında TCK'nın 184. maddesi uyarınca kanuni işlem yapılacaktır.</w:t>
      </w:r>
      <w:r>
        <w:rPr>
          <w:rFonts w:ascii="Times New Roman" w:hAnsi="Times New Roman" w:cs="Times New Roman"/>
          <w:sz w:val="24"/>
          <w:szCs w:val="24"/>
        </w:rPr>
        <w:br/>
        <w:t>        Ruhsat ve yapı izni alma zorunluluğunun yasal bir işlem olmasının yanında ilimizin 1. derece deprem bölgesinde yer alması sebebiyle yaşanabilecek maddi ve manevi zararla</w:t>
      </w:r>
      <w:r>
        <w:rPr>
          <w:rFonts w:ascii="Times New Roman" w:hAnsi="Times New Roman" w:cs="Times New Roman"/>
          <w:sz w:val="24"/>
          <w:szCs w:val="24"/>
        </w:rPr>
        <w:t>rın önüne geçilebilmesi için yukarıda bahsi geçen hususlara titizlikle riayet edilmesi önem arz etmektedir.</w:t>
      </w:r>
      <w:r>
        <w:rPr>
          <w:rFonts w:ascii="Times New Roman" w:hAnsi="Times New Roman" w:cs="Times New Roman"/>
          <w:sz w:val="24"/>
          <w:szCs w:val="24"/>
        </w:rPr>
        <w:br/>
        <w:t>        Gereğini bilgilerinize rica ederim.</w:t>
      </w:r>
    </w:p>
    <w:p w:rsidR="00B96DBB" w:rsidRDefault="00B96DBB" w:rsidP="001C6F35">
      <w:pPr>
        <w:spacing w:after="0" w:line="240" w:lineRule="auto"/>
        <w:jc w:val="both"/>
        <w:rPr>
          <w:rFonts w:ascii="Times New Roman" w:hAnsi="Times New Roman" w:cs="Times New Roman"/>
          <w:sz w:val="24"/>
          <w:szCs w:val="24"/>
        </w:rPr>
      </w:pPr>
    </w:p>
    <w:p w:rsidR="00B96DBB" w:rsidRDefault="00B96DBB" w:rsidP="001C6F35">
      <w:pPr>
        <w:spacing w:after="0" w:line="240" w:lineRule="auto"/>
        <w:jc w:val="both"/>
        <w:rPr>
          <w:rFonts w:ascii="Times New Roman" w:hAnsi="Times New Roman" w:cs="Times New Roman"/>
          <w:sz w:val="24"/>
          <w:szCs w:val="24"/>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0"/>
      </w:tblGrid>
      <w:tr w:rsidR="00B96DBB" w:rsidTr="001C6F35">
        <w:trPr>
          <w:jc w:val="right"/>
        </w:trPr>
        <w:tc>
          <w:tcPr>
            <w:tcW w:w="0" w:type="auto"/>
          </w:tcPr>
          <w:p w:rsidR="001B3657" w:rsidRDefault="0025798D">
            <w:pPr>
              <w:jc w:val="center"/>
              <w:rPr>
                <w:rFonts w:ascii="Times New Roman" w:hAnsi="Times New Roman" w:cs="Times New Roman"/>
                <w:sz w:val="24"/>
                <w:szCs w:val="24"/>
              </w:rPr>
            </w:pPr>
            <w:r>
              <w:rPr>
                <w:rFonts w:ascii="Times New Roman" w:hAnsi="Times New Roman" w:cs="Times New Roman"/>
                <w:sz w:val="24"/>
                <w:szCs w:val="24"/>
              </w:rPr>
              <w:t>Şeyhmus  YENTÜR</w:t>
            </w:r>
            <w:r>
              <w:rPr>
                <w:rFonts w:ascii="Times New Roman" w:hAnsi="Times New Roman" w:cs="Times New Roman"/>
                <w:sz w:val="24"/>
                <w:szCs w:val="24"/>
              </w:rPr>
              <w:br/>
              <w:t>Genel Sekreter</w:t>
            </w:r>
            <w:r>
              <w:rPr>
                <w:rFonts w:ascii="Times New Roman" w:hAnsi="Times New Roman" w:cs="Times New Roman"/>
                <w:sz w:val="24"/>
                <w:szCs w:val="24"/>
              </w:rPr>
              <w:br/>
            </w:r>
          </w:p>
        </w:tc>
      </w:tr>
    </w:tbl>
    <w:p w:rsidR="00B96DBB" w:rsidRDefault="00B96DBB"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p w:rsidR="000949FD" w:rsidRDefault="000949FD" w:rsidP="001C6F35">
      <w:pPr>
        <w:spacing w:after="0" w:line="240" w:lineRule="auto"/>
        <w:rPr>
          <w:rFonts w:ascii="Times New Roman" w:hAnsi="Times New Roman" w:cs="Times New Roman"/>
          <w:sz w:val="24"/>
          <w:szCs w:val="24"/>
        </w:rPr>
      </w:pPr>
    </w:p>
    <w:sectPr w:rsidR="000949FD" w:rsidSect="00CE19FA">
      <w:footerReference w:type="default" r:id="rId9"/>
      <w:type w:val="continuous"/>
      <w:pgSz w:w="11906" w:h="16838"/>
      <w:pgMar w:top="284" w:right="850" w:bottom="900" w:left="850" w:header="708" w:footer="9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885" w:rsidRDefault="00B81885" w:rsidP="00B96DBB">
      <w:pPr>
        <w:spacing w:after="0" w:line="240" w:lineRule="auto"/>
      </w:pPr>
      <w:r>
        <w:separator/>
      </w:r>
    </w:p>
  </w:endnote>
  <w:endnote w:type="continuationSeparator" w:id="0">
    <w:p w:rsidR="00B81885" w:rsidRDefault="00B81885" w:rsidP="00B9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e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657" w:rsidRDefault="0025798D">
    <w:pPr>
      <w:spacing w:after="0" w:line="0" w:lineRule="auto"/>
    </w:pPr>
    <w:r>
      <w:rPr>
        <w:noProof/>
      </w:rPr>
      <w:drawing>
        <wp:anchor distT="0" distB="0" distL="114300" distR="114300" simplePos="0" relativeHeight="251658240" behindDoc="1" locked="0" layoutInCell="1" allowOverlap="1">
          <wp:simplePos x="0" y="0"/>
          <wp:positionH relativeFrom="leftMargin">
            <wp:posOffset>6402647</wp:posOffset>
          </wp:positionH>
          <wp:positionV relativeFrom="page">
            <wp:posOffset>9467547</wp:posOffset>
          </wp:positionV>
          <wp:extent cx="613853" cy="613853"/>
          <wp:effectExtent l="0" t="0" r="0" b="0"/>
          <wp:wrapNone/>
          <wp:docPr id="2" name="LogoResimxx"/>
          <wp:cNvGraphicFramePr/>
          <a:graphic xmlns:a="http://schemas.openxmlformats.org/drawingml/2006/main">
            <a:graphicData uri="http://schemas.openxmlformats.org/drawingml/2006/picture">
              <pic:pic xmlns:pic="http://schemas.openxmlformats.org/drawingml/2006/picture">
                <pic:nvPicPr>
                  <pic:cNvPr id="0" name="logoxx.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853" cy="613853"/>
                  </a:xfrm>
                  <a:prstGeom prst="rect">
                    <a:avLst/>
                  </a:prstGeom>
                </pic:spPr>
              </pic:pic>
            </a:graphicData>
          </a:graphic>
          <wp14:sizeRelH relativeFrom="page">
            <wp14:pctWidth>0</wp14:pctWidth>
          </wp14:sizeRelH>
          <wp14:sizeRelV relativeFrom="page">
            <wp14:pctHeight>0</wp14:pctHeight>
          </wp14:sizeRelV>
        </wp:anchor>
      </w:drawing>
    </w: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6"/>
    </w:tblGrid>
    <w:tr w:rsidR="001B3657">
      <w:trPr>
        <w:tblCellSpacing w:w="0" w:type="dxa"/>
      </w:trPr>
      <w:tc>
        <w:tcPr>
          <w:tcW w:w="0" w:type="auto"/>
          <w:vAlign w:val="center"/>
        </w:tcPr>
        <w:p w:rsidR="001B3657" w:rsidRDefault="0025798D">
          <w:pPr>
            <w:keepNext/>
            <w:jc w:val="center"/>
            <w:rPr>
              <w:rFonts w:ascii="Times New Roman" w:hAnsi="Times New Roman" w:cs="Times New Roman"/>
              <w:sz w:val="24"/>
              <w:szCs w:val="24"/>
            </w:rPr>
          </w:pPr>
          <w:r>
            <w:rPr>
              <w:rFonts w:ascii="Times New Roman" w:hAnsi="Times New Roman" w:cs="Times New Roman"/>
              <w:color w:val="FF0000"/>
              <w:sz w:val="18"/>
              <w:szCs w:val="18"/>
            </w:rPr>
            <w:t>Bu belge, güvenli elektronik imza ile imzalanmıştır.</w:t>
          </w:r>
        </w:p>
      </w:tc>
    </w:tr>
    <w:tr w:rsidR="001B3657">
      <w:trPr>
        <w:tblCellSpacing w:w="0" w:type="dxa"/>
      </w:trPr>
      <w:tc>
        <w:tcPr>
          <w:tcW w:w="0" w:type="auto"/>
          <w:vAlign w:val="center"/>
        </w:tcPr>
        <w:p w:rsidR="001B3657" w:rsidRDefault="0025798D">
          <w:pPr>
            <w:keepNext/>
            <w:jc w:val="center"/>
            <w:rPr>
              <w:rFonts w:ascii="Times New Roman" w:hAnsi="Times New Roman" w:cs="Times New Roman"/>
              <w:sz w:val="24"/>
              <w:szCs w:val="24"/>
            </w:rPr>
          </w:pPr>
          <w:r>
            <w:rPr>
              <w:rFonts w:ascii="Times New Roman" w:hAnsi="Times New Roman" w:cs="Times New Roman"/>
              <w:sz w:val="18"/>
              <w:szCs w:val="18"/>
            </w:rPr>
            <w:t xml:space="preserve"> Doğrulama Kodu: zQQT3D-PGYgmU-a7SWkd-n5kLGR-hUQVQZj5 Doğrulama Linki: https://www.turkiye.gov.tr/icisleri-ebys</w:t>
          </w:r>
        </w:p>
      </w:tc>
    </w:tr>
  </w:tbl>
  <w:p w:rsidR="001B3657" w:rsidRDefault="001B3657">
    <w:pPr>
      <w:pBdr>
        <w:bottom w:val="single" w:sz="8" w:space="1" w:color="auto"/>
      </w:pBdr>
    </w:pPr>
  </w:p>
  <w:tbl>
    <w:tblPr>
      <w:tblStyle w:val="TabloKlavuzu"/>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23"/>
      <w:gridCol w:w="2960"/>
      <w:gridCol w:w="1123"/>
    </w:tblGrid>
    <w:tr w:rsidR="001B3657">
      <w:trPr>
        <w:tblCellSpacing w:w="0" w:type="dxa"/>
      </w:trPr>
      <w:tc>
        <w:tcPr>
          <w:tcW w:w="3000" w:type="pct"/>
        </w:tcPr>
        <w:p w:rsidR="001B3657" w:rsidRDefault="0025798D">
          <w:pPr>
            <w:keepNext/>
            <w:rPr>
              <w:rFonts w:ascii="Times New Roman" w:hAnsi="Times New Roman" w:cs="Times New Roman"/>
              <w:sz w:val="24"/>
              <w:szCs w:val="24"/>
            </w:rPr>
          </w:pPr>
          <w:r>
            <w:rPr>
              <w:rFonts w:ascii="Times New Roman" w:hAnsi="Times New Roman" w:cs="Times New Roman"/>
              <w:sz w:val="18"/>
              <w:szCs w:val="18"/>
            </w:rPr>
            <w:br/>
          </w:r>
          <w:r>
            <w:rPr>
              <w:rFonts w:ascii="Times New Roman" w:hAnsi="Times New Roman" w:cs="Times New Roman"/>
              <w:sz w:val="16"/>
              <w:szCs w:val="18"/>
            </w:rPr>
            <w:t>Telefon No: (436)212 11 65  Dahili: 1214 Faks No: (436)212 17 92</w:t>
          </w:r>
          <w:r>
            <w:rPr>
              <w:rFonts w:ascii="Times New Roman" w:hAnsi="Times New Roman" w:cs="Times New Roman"/>
              <w:sz w:val="18"/>
              <w:szCs w:val="18"/>
            </w:rPr>
            <w:br/>
          </w:r>
          <w:r>
            <w:rPr>
              <w:rFonts w:ascii="Times New Roman" w:hAnsi="Times New Roman" w:cs="Times New Roman"/>
              <w:sz w:val="16"/>
              <w:szCs w:val="18"/>
            </w:rPr>
            <w:t xml:space="preserve">e-Posta: </w:t>
          </w:r>
          <w:r>
            <w:rPr>
              <w:rFonts w:ascii="Times New Roman" w:hAnsi="Times New Roman" w:cs="Times New Roman"/>
              <w:sz w:val="16"/>
              <w:szCs w:val="18"/>
              <w:u w:val="single"/>
            </w:rPr>
            <w:t>info@musilozelidaresi.gov.tr</w:t>
          </w:r>
          <w:r>
            <w:rPr>
              <w:rFonts w:ascii="Times New Roman" w:hAnsi="Times New Roman" w:cs="Times New Roman"/>
              <w:sz w:val="16"/>
              <w:szCs w:val="18"/>
            </w:rPr>
            <w:t xml:space="preserve"> İnternet Adresi: </w:t>
          </w:r>
          <w:r>
            <w:rPr>
              <w:rFonts w:ascii="Times New Roman" w:hAnsi="Times New Roman" w:cs="Times New Roman"/>
              <w:sz w:val="16"/>
              <w:szCs w:val="18"/>
              <w:u w:val="single"/>
            </w:rPr>
            <w:t>http://musilozelidaresi.gov.tr</w:t>
          </w:r>
          <w:r>
            <w:rPr>
              <w:rFonts w:ascii="Times New Roman" w:hAnsi="Times New Roman" w:cs="Times New Roman"/>
              <w:sz w:val="18"/>
              <w:szCs w:val="18"/>
            </w:rPr>
            <w:br/>
          </w:r>
          <w:r>
            <w:rPr>
              <w:rFonts w:ascii="Times New Roman" w:hAnsi="Times New Roman" w:cs="Times New Roman"/>
              <w:sz w:val="16"/>
              <w:szCs w:val="18"/>
            </w:rPr>
            <w:t>Kep Adresi: icisleribakanligi@hs01.kep.tr</w:t>
          </w:r>
        </w:p>
      </w:tc>
      <w:tc>
        <w:tcPr>
          <w:tcW w:w="1450" w:type="pct"/>
        </w:tcPr>
        <w:p w:rsidR="001B3657" w:rsidRDefault="0025798D">
          <w:pPr>
            <w:keepNext/>
            <w:jc w:val="right"/>
            <w:rPr>
              <w:rFonts w:ascii="Times New Roman" w:hAnsi="Times New Roman" w:cs="Times New Roman"/>
              <w:sz w:val="24"/>
              <w:szCs w:val="24"/>
            </w:rPr>
          </w:pPr>
          <w:r>
            <w:rPr>
              <w:rFonts w:ascii="Times New Roman" w:hAnsi="Times New Roman" w:cs="Times New Roman"/>
              <w:sz w:val="16"/>
              <w:szCs w:val="18"/>
            </w:rPr>
            <w:t>Bilgi için: Adem KÖSE</w:t>
          </w:r>
          <w:r>
            <w:rPr>
              <w:rFonts w:ascii="Times New Roman" w:hAnsi="Times New Roman" w:cs="Times New Roman"/>
              <w:sz w:val="18"/>
              <w:szCs w:val="18"/>
            </w:rPr>
            <w:br/>
          </w:r>
          <w:r>
            <w:rPr>
              <w:rFonts w:ascii="Times New Roman" w:hAnsi="Times New Roman" w:cs="Times New Roman"/>
              <w:sz w:val="16"/>
              <w:szCs w:val="18"/>
            </w:rPr>
            <w:t>İmar Ve Kentsel İyileştirme Müdürü</w:t>
          </w:r>
          <w:r>
            <w:rPr>
              <w:rFonts w:ascii="Times New Roman" w:hAnsi="Times New Roman" w:cs="Times New Roman"/>
              <w:sz w:val="18"/>
              <w:szCs w:val="18"/>
            </w:rPr>
            <w:br/>
          </w:r>
          <w:r>
            <w:rPr>
              <w:rFonts w:ascii="Times New Roman" w:hAnsi="Times New Roman" w:cs="Times New Roman"/>
              <w:sz w:val="16"/>
              <w:szCs w:val="18"/>
            </w:rPr>
            <w:t xml:space="preserve">Telefon No: </w:t>
          </w:r>
        </w:p>
      </w:tc>
      <w:tc>
        <w:tcPr>
          <w:tcW w:w="550" w:type="pct"/>
        </w:tcPr>
        <w:p w:rsidR="001B3657" w:rsidRDefault="001B3657">
          <w:pPr>
            <w:keepNext/>
            <w:jc w:val="right"/>
            <w:rPr>
              <w:rFonts w:ascii="Times New Roman" w:hAnsi="Times New Roman" w:cs="Times New Roman"/>
              <w:sz w:val="24"/>
              <w:szCs w:val="24"/>
            </w:rPr>
          </w:pPr>
        </w:p>
      </w:tc>
    </w:tr>
  </w:tbl>
  <w:p w:rsidR="00E574F6" w:rsidRPr="00A52013" w:rsidRDefault="00182DA1">
    <w:pPr>
      <w:spacing w:after="0" w:line="200" w:lineRule="auto"/>
      <w:jc w:val="center"/>
      <w:rPr>
        <w:rFonts w:ascii="Times New Roman" w:hAnsi="eTimes New Roman" w:cs="Times New Roman"/>
        <w:sz w:val="12"/>
        <w:szCs w:val="12"/>
      </w:rPr>
    </w:pP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PAGE   \* MERGEFORMAT </w:instrText>
    </w:r>
    <w:r w:rsidR="0025798D">
      <w:rPr>
        <w:rFonts w:ascii="Times New Roman" w:hAnsi="Times New Roman" w:cs="Times New Roman"/>
        <w:sz w:val="24"/>
        <w:szCs w:val="24"/>
      </w:rPr>
      <w:fldChar w:fldCharType="separate"/>
    </w:r>
    <w:r w:rsidR="0025798D">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r w:rsidRPr="00D3606C">
      <w:rPr>
        <w:rFonts w:ascii="Times New Roman" w:hAnsi="Times New Roman" w:cs="Times New Roman"/>
        <w:sz w:val="24"/>
        <w:szCs w:val="24"/>
      </w:rPr>
      <w:t>/</w:t>
    </w:r>
    <w:r w:rsidRPr="009A0D3E">
      <w:rPr>
        <w:rFonts w:ascii="Times New Roman" w:hAnsi="Times New Roman" w:cs="Times New Roman"/>
        <w:sz w:val="24"/>
        <w:szCs w:val="24"/>
      </w:rPr>
      <w:fldChar w:fldCharType="begin"/>
    </w:r>
    <w:r w:rsidRPr="009A0D3E">
      <w:rPr>
        <w:rFonts w:ascii="Times New Roman" w:hAnsi="Times New Roman" w:cs="Times New Roman"/>
        <w:sz w:val="24"/>
        <w:szCs w:val="24"/>
      </w:rPr>
      <w:instrText xml:space="preserve"> SECTIONPAGES   \* MERGEFORMAT </w:instrText>
    </w:r>
    <w:r w:rsidR="0025798D">
      <w:rPr>
        <w:rFonts w:ascii="Times New Roman" w:hAnsi="Times New Roman" w:cs="Times New Roman"/>
        <w:sz w:val="24"/>
        <w:szCs w:val="24"/>
      </w:rPr>
      <w:fldChar w:fldCharType="separate"/>
    </w:r>
    <w:r w:rsidR="0025798D">
      <w:rPr>
        <w:rFonts w:ascii="Times New Roman" w:hAnsi="Times New Roman" w:cs="Times New Roman"/>
        <w:noProof/>
        <w:sz w:val="24"/>
        <w:szCs w:val="24"/>
      </w:rPr>
      <w:t>1</w:t>
    </w:r>
    <w:r w:rsidRPr="009A0D3E">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885" w:rsidRDefault="00B81885" w:rsidP="00B96DBB">
      <w:pPr>
        <w:spacing w:after="0" w:line="240" w:lineRule="auto"/>
      </w:pPr>
      <w:r>
        <w:separator/>
      </w:r>
    </w:p>
  </w:footnote>
  <w:footnote w:type="continuationSeparator" w:id="0">
    <w:p w:rsidR="00B81885" w:rsidRDefault="00B81885" w:rsidP="00B9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D0BBD"/>
    <w:multiLevelType w:val="hybridMultilevel"/>
    <w:tmpl w:val="E7E00EE8"/>
    <w:lvl w:ilvl="0" w:tplc="041F0001">
      <w:start w:val="1"/>
      <w:numFmt w:val="bullet"/>
      <w:lvlText w:val="·"/>
      <w:lvlJc w:val="left"/>
      <w:pPr>
        <w:ind w:left="720" w:hanging="360"/>
      </w:pPr>
      <w:rPr>
        <w:rFonts w:ascii="Symbol" w:hAnsi="Symbol" w:hint="default"/>
      </w:rPr>
    </w:lvl>
    <w:lvl w:ilvl="1" w:tplc="E35CF3B8">
      <w:numFmt w:val="decimal"/>
      <w:lvlText w:val=""/>
      <w:lvlJc w:val="left"/>
    </w:lvl>
    <w:lvl w:ilvl="2" w:tplc="8A44BB86">
      <w:numFmt w:val="decimal"/>
      <w:lvlText w:val=""/>
      <w:lvlJc w:val="left"/>
    </w:lvl>
    <w:lvl w:ilvl="3" w:tplc="B1B87614">
      <w:numFmt w:val="decimal"/>
      <w:lvlText w:val=""/>
      <w:lvlJc w:val="left"/>
    </w:lvl>
    <w:lvl w:ilvl="4" w:tplc="67627EC4">
      <w:numFmt w:val="decimal"/>
      <w:lvlText w:val=""/>
      <w:lvlJc w:val="left"/>
    </w:lvl>
    <w:lvl w:ilvl="5" w:tplc="AF888A60">
      <w:numFmt w:val="decimal"/>
      <w:lvlText w:val=""/>
      <w:lvlJc w:val="left"/>
    </w:lvl>
    <w:lvl w:ilvl="6" w:tplc="11567E78">
      <w:numFmt w:val="decimal"/>
      <w:lvlText w:val=""/>
      <w:lvlJc w:val="left"/>
    </w:lvl>
    <w:lvl w:ilvl="7" w:tplc="23A84622">
      <w:numFmt w:val="decimal"/>
      <w:lvlText w:val=""/>
      <w:lvlJc w:val="left"/>
    </w:lvl>
    <w:lvl w:ilvl="8" w:tplc="E85C999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BB"/>
    <w:rsid w:val="000949FD"/>
    <w:rsid w:val="00182DA1"/>
    <w:rsid w:val="001B3657"/>
    <w:rsid w:val="001C6654"/>
    <w:rsid w:val="001C6F35"/>
    <w:rsid w:val="0025798D"/>
    <w:rsid w:val="00A52013"/>
    <w:rsid w:val="00AF2596"/>
    <w:rsid w:val="00B81885"/>
    <w:rsid w:val="00B96DBB"/>
    <w:rsid w:val="00C320B6"/>
    <w:rsid w:val="00CF47BF"/>
    <w:rsid w:val="00D165D6"/>
    <w:rsid w:val="00EA4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CAD8A-DB34-4EE5-893F-FDFD20911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2272</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KÖSE</dc:creator>
  <cp:lastModifiedBy>Microsoft hesabı</cp:lastModifiedBy>
  <cp:revision>2</cp:revision>
  <dcterms:created xsi:type="dcterms:W3CDTF">2025-03-14T10:39:00Z</dcterms:created>
  <dcterms:modified xsi:type="dcterms:W3CDTF">2025-03-14T10:39:00Z</dcterms:modified>
</cp:coreProperties>
</file>